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1BD" w:rsidRDefault="00CB561D" w:rsidP="007B61BD">
      <w:pPr>
        <w:jc w:val="center"/>
        <w:rPr>
          <w:rFonts w:ascii="Gill Sans MT" w:hAnsi="Gill Sans MT"/>
          <w:sz w:val="32"/>
          <w:szCs w:val="32"/>
          <w:u w:val="single"/>
        </w:rPr>
      </w:pPr>
      <w:r>
        <w:rPr>
          <w:rFonts w:ascii="Gill Sans MT" w:hAnsi="Gill Sans MT"/>
          <w:sz w:val="32"/>
          <w:szCs w:val="32"/>
          <w:u w:val="single"/>
        </w:rPr>
        <w:t xml:space="preserve">Year </w:t>
      </w:r>
      <w:r w:rsidR="00E00D47">
        <w:rPr>
          <w:rFonts w:ascii="Gill Sans MT" w:hAnsi="Gill Sans MT"/>
          <w:sz w:val="32"/>
          <w:szCs w:val="32"/>
          <w:u w:val="single"/>
        </w:rPr>
        <w:t>R</w:t>
      </w:r>
      <w:r w:rsidR="007B61BD">
        <w:rPr>
          <w:rFonts w:ascii="Gill Sans MT" w:hAnsi="Gill Sans MT"/>
          <w:sz w:val="32"/>
          <w:szCs w:val="32"/>
          <w:u w:val="single"/>
        </w:rPr>
        <w:t xml:space="preserve"> Yearly Overview for Maths</w:t>
      </w:r>
      <w:bookmarkStart w:id="0" w:name="_GoBack"/>
      <w:bookmarkEnd w:id="0"/>
    </w:p>
    <w:p w:rsidR="0013318B" w:rsidRPr="0013318B" w:rsidRDefault="0013318B" w:rsidP="007B61BD">
      <w:pPr>
        <w:jc w:val="center"/>
        <w:rPr>
          <w:rFonts w:ascii="Gill Sans MT" w:hAnsi="Gill Sans MT"/>
          <w:sz w:val="32"/>
          <w:szCs w:val="32"/>
        </w:rPr>
      </w:pPr>
      <w:r w:rsidRPr="005F4F4D">
        <w:rPr>
          <w:rFonts w:ascii="Gill Sans MT" w:hAnsi="Gill Sans MT"/>
          <w:sz w:val="32"/>
          <w:szCs w:val="32"/>
        </w:rPr>
        <w:t>I</w:t>
      </w:r>
      <w:r w:rsidR="005F4F4D" w:rsidRPr="005F4F4D">
        <w:rPr>
          <w:rFonts w:ascii="Gill Sans MT" w:hAnsi="Gill Sans MT"/>
          <w:sz w:val="32"/>
          <w:szCs w:val="32"/>
        </w:rPr>
        <w:t>n</w:t>
      </w:r>
      <w:r w:rsidR="00E00D47">
        <w:rPr>
          <w:rFonts w:ascii="Gill Sans MT" w:hAnsi="Gill Sans MT"/>
          <w:sz w:val="32"/>
          <w:szCs w:val="32"/>
        </w:rPr>
        <w:t xml:space="preserve"> YR</w:t>
      </w:r>
      <w:r w:rsidRPr="0013318B">
        <w:rPr>
          <w:rFonts w:ascii="Gill Sans MT" w:hAnsi="Gill Sans MT"/>
          <w:sz w:val="32"/>
          <w:szCs w:val="32"/>
        </w:rPr>
        <w:t xml:space="preserve"> we use </w:t>
      </w:r>
      <w:r w:rsidR="005E42FC">
        <w:rPr>
          <w:rFonts w:ascii="Gill Sans MT" w:hAnsi="Gill Sans MT"/>
          <w:sz w:val="32"/>
          <w:szCs w:val="32"/>
        </w:rPr>
        <w:t xml:space="preserve">the NCETM Maths Mastery materials and </w:t>
      </w:r>
      <w:r w:rsidRPr="0013318B">
        <w:rPr>
          <w:rFonts w:ascii="Gill Sans MT" w:hAnsi="Gill Sans MT"/>
          <w:sz w:val="32"/>
          <w:szCs w:val="32"/>
        </w:rPr>
        <w:t>White Rose to support our planning</w:t>
      </w:r>
      <w:r w:rsidR="00E00D47">
        <w:rPr>
          <w:rFonts w:ascii="Gill Sans MT" w:hAnsi="Gill Sans MT"/>
          <w:sz w:val="32"/>
          <w:szCs w:val="32"/>
        </w:rPr>
        <w:t xml:space="preserve">. </w:t>
      </w:r>
      <w:r w:rsidR="001266EF">
        <w:rPr>
          <w:rFonts w:ascii="Gill Sans MT" w:hAnsi="Gill Sans MT"/>
          <w:sz w:val="32"/>
          <w:szCs w:val="32"/>
        </w:rPr>
        <w:t xml:space="preserve">We are also taking part in the University of Nottingham’s Counting Collection </w:t>
      </w:r>
      <w:r w:rsidR="00787213">
        <w:rPr>
          <w:rFonts w:ascii="Gill Sans MT" w:hAnsi="Gill Sans MT"/>
          <w:sz w:val="32"/>
          <w:szCs w:val="32"/>
        </w:rPr>
        <w:t>research project</w:t>
      </w:r>
      <w:r w:rsidR="002B040A">
        <w:rPr>
          <w:rFonts w:ascii="Gill Sans MT" w:hAnsi="Gill Sans MT"/>
          <w:sz w:val="32"/>
          <w:szCs w:val="32"/>
        </w:rPr>
        <w:t>, running one 30 min Counting Collection session each week</w:t>
      </w:r>
      <w:r w:rsidR="00DB43F9">
        <w:rPr>
          <w:rFonts w:ascii="Gill Sans MT" w:hAnsi="Gill Sans MT"/>
          <w:sz w:val="32"/>
          <w:szCs w:val="32"/>
        </w:rPr>
        <w:t>.  We</w:t>
      </w:r>
      <w:r w:rsidR="00787213">
        <w:rPr>
          <w:rFonts w:ascii="Gill Sans MT" w:hAnsi="Gill Sans MT"/>
          <w:sz w:val="32"/>
          <w:szCs w:val="32"/>
        </w:rPr>
        <w:t xml:space="preserve"> </w:t>
      </w:r>
      <w:r w:rsidR="00E00D47">
        <w:rPr>
          <w:rFonts w:ascii="Gill Sans MT" w:hAnsi="Gill Sans MT"/>
          <w:sz w:val="32"/>
          <w:szCs w:val="32"/>
        </w:rPr>
        <w:t>track children’s learning and deve</w:t>
      </w:r>
      <w:r w:rsidR="005E42FC">
        <w:rPr>
          <w:rFonts w:ascii="Gill Sans MT" w:hAnsi="Gill Sans MT"/>
          <w:sz w:val="32"/>
          <w:szCs w:val="32"/>
        </w:rPr>
        <w:t>lopment through next steps planning and teacher knowledge and assessment</w:t>
      </w:r>
      <w:r w:rsidR="007C3DC4">
        <w:rPr>
          <w:rFonts w:ascii="Gill Sans MT" w:hAnsi="Gill Sans MT"/>
          <w:sz w:val="32"/>
          <w:szCs w:val="32"/>
        </w:rPr>
        <w:t xml:space="preserve">, identifying and planning further support for children that need it.  </w:t>
      </w:r>
      <w:r w:rsidR="005E42FC">
        <w:rPr>
          <w:rFonts w:ascii="Gill Sans MT" w:hAnsi="Gill Sans MT"/>
          <w:sz w:val="32"/>
          <w:szCs w:val="32"/>
        </w:rPr>
        <w:t xml:space="preserve">We use </w:t>
      </w:r>
      <w:r w:rsidR="007C3DC4">
        <w:rPr>
          <w:rFonts w:ascii="Gill Sans MT" w:hAnsi="Gill Sans MT"/>
          <w:sz w:val="32"/>
          <w:szCs w:val="32"/>
        </w:rPr>
        <w:t xml:space="preserve">See-Saw </w:t>
      </w:r>
      <w:r w:rsidR="005E42FC">
        <w:rPr>
          <w:rFonts w:ascii="Gill Sans MT" w:hAnsi="Gill Sans MT"/>
          <w:sz w:val="32"/>
          <w:szCs w:val="32"/>
        </w:rPr>
        <w:t xml:space="preserve">Journals to record some key learning and give parents ideas to support their child. </w:t>
      </w:r>
      <w:r w:rsidR="00A232CB">
        <w:rPr>
          <w:rFonts w:ascii="Gill Sans MT" w:hAnsi="Gill Sans MT"/>
          <w:sz w:val="32"/>
          <w:szCs w:val="32"/>
        </w:rPr>
        <w:t xml:space="preserve">Maths is taught through play-based, practical contexts that provide opportunities to solve problems. </w:t>
      </w:r>
    </w:p>
    <w:tbl>
      <w:tblPr>
        <w:tblStyle w:val="TableGrid"/>
        <w:tblW w:w="14520" w:type="dxa"/>
        <w:tblInd w:w="-572" w:type="dxa"/>
        <w:tblLook w:val="04A0" w:firstRow="1" w:lastRow="0" w:firstColumn="1" w:lastColumn="0" w:noHBand="0" w:noVBand="1"/>
      </w:tblPr>
      <w:tblGrid>
        <w:gridCol w:w="1161"/>
        <w:gridCol w:w="1036"/>
        <w:gridCol w:w="911"/>
        <w:gridCol w:w="911"/>
        <w:gridCol w:w="296"/>
        <w:gridCol w:w="185"/>
        <w:gridCol w:w="489"/>
        <w:gridCol w:w="911"/>
        <w:gridCol w:w="911"/>
        <w:gridCol w:w="1029"/>
        <w:gridCol w:w="185"/>
        <w:gridCol w:w="911"/>
        <w:gridCol w:w="872"/>
        <w:gridCol w:w="872"/>
        <w:gridCol w:w="500"/>
        <w:gridCol w:w="421"/>
        <w:gridCol w:w="872"/>
        <w:gridCol w:w="902"/>
        <w:gridCol w:w="1145"/>
      </w:tblGrid>
      <w:tr w:rsidR="00B80AA3" w:rsidRPr="00CE3B13" w:rsidTr="00B80AA3">
        <w:tc>
          <w:tcPr>
            <w:tcW w:w="1161" w:type="dxa"/>
          </w:tcPr>
          <w:p w:rsidR="00B80AA3" w:rsidRPr="00CE3B13" w:rsidRDefault="00B80AA3" w:rsidP="00490A42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036" w:type="dxa"/>
          </w:tcPr>
          <w:p w:rsidR="00B80AA3" w:rsidRPr="00CE3B13" w:rsidRDefault="00B80AA3" w:rsidP="00490A42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CE3B13">
              <w:rPr>
                <w:rFonts w:ascii="Gill Sans MT" w:hAnsi="Gill Sans MT"/>
                <w:sz w:val="28"/>
                <w:szCs w:val="28"/>
              </w:rPr>
              <w:t>Week 1</w:t>
            </w:r>
          </w:p>
        </w:tc>
        <w:tc>
          <w:tcPr>
            <w:tcW w:w="911" w:type="dxa"/>
          </w:tcPr>
          <w:p w:rsidR="00B80AA3" w:rsidRPr="00CE3B13" w:rsidRDefault="00B80AA3" w:rsidP="00490A42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CE3B13">
              <w:rPr>
                <w:rFonts w:ascii="Gill Sans MT" w:hAnsi="Gill Sans MT"/>
                <w:sz w:val="28"/>
                <w:szCs w:val="28"/>
              </w:rPr>
              <w:t>Week 2</w:t>
            </w:r>
          </w:p>
        </w:tc>
        <w:tc>
          <w:tcPr>
            <w:tcW w:w="911" w:type="dxa"/>
          </w:tcPr>
          <w:p w:rsidR="00B80AA3" w:rsidRPr="00CE3B13" w:rsidRDefault="00B80AA3" w:rsidP="00490A42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CE3B13">
              <w:rPr>
                <w:rFonts w:ascii="Gill Sans MT" w:hAnsi="Gill Sans MT"/>
                <w:sz w:val="28"/>
                <w:szCs w:val="28"/>
              </w:rPr>
              <w:t>Week 3</w:t>
            </w:r>
          </w:p>
        </w:tc>
        <w:tc>
          <w:tcPr>
            <w:tcW w:w="970" w:type="dxa"/>
            <w:gridSpan w:val="3"/>
          </w:tcPr>
          <w:p w:rsidR="00B80AA3" w:rsidRPr="00CE3B13" w:rsidRDefault="00B80AA3" w:rsidP="00490A42">
            <w:pPr>
              <w:rPr>
                <w:sz w:val="28"/>
                <w:szCs w:val="28"/>
              </w:rPr>
            </w:pPr>
            <w:r w:rsidRPr="00CE3B13">
              <w:rPr>
                <w:rFonts w:ascii="Gill Sans MT" w:hAnsi="Gill Sans MT"/>
                <w:sz w:val="28"/>
                <w:szCs w:val="28"/>
              </w:rPr>
              <w:t>Week 4</w:t>
            </w:r>
          </w:p>
        </w:tc>
        <w:tc>
          <w:tcPr>
            <w:tcW w:w="911" w:type="dxa"/>
          </w:tcPr>
          <w:p w:rsidR="00B80AA3" w:rsidRPr="00CE3B13" w:rsidRDefault="00B80AA3" w:rsidP="00490A42">
            <w:pPr>
              <w:rPr>
                <w:sz w:val="28"/>
                <w:szCs w:val="28"/>
              </w:rPr>
            </w:pPr>
            <w:r w:rsidRPr="00CE3B13">
              <w:rPr>
                <w:rFonts w:ascii="Gill Sans MT" w:hAnsi="Gill Sans MT"/>
                <w:sz w:val="28"/>
                <w:szCs w:val="28"/>
              </w:rPr>
              <w:t>Week 5</w:t>
            </w:r>
          </w:p>
        </w:tc>
        <w:tc>
          <w:tcPr>
            <w:tcW w:w="911" w:type="dxa"/>
          </w:tcPr>
          <w:p w:rsidR="00B80AA3" w:rsidRPr="00CE3B13" w:rsidRDefault="00B80AA3" w:rsidP="00490A42">
            <w:pPr>
              <w:rPr>
                <w:sz w:val="28"/>
                <w:szCs w:val="28"/>
              </w:rPr>
            </w:pPr>
            <w:r w:rsidRPr="00CE3B13">
              <w:rPr>
                <w:rFonts w:ascii="Gill Sans MT" w:hAnsi="Gill Sans MT"/>
                <w:sz w:val="28"/>
                <w:szCs w:val="28"/>
              </w:rPr>
              <w:t>Week 6</w:t>
            </w:r>
          </w:p>
        </w:tc>
        <w:tc>
          <w:tcPr>
            <w:tcW w:w="1214" w:type="dxa"/>
            <w:gridSpan w:val="2"/>
          </w:tcPr>
          <w:p w:rsidR="00B80AA3" w:rsidRPr="00CE3B13" w:rsidRDefault="00B80AA3" w:rsidP="00490A42">
            <w:pPr>
              <w:rPr>
                <w:sz w:val="28"/>
                <w:szCs w:val="28"/>
              </w:rPr>
            </w:pPr>
            <w:r w:rsidRPr="00CE3B13">
              <w:rPr>
                <w:rFonts w:ascii="Gill Sans MT" w:hAnsi="Gill Sans MT"/>
                <w:sz w:val="28"/>
                <w:szCs w:val="28"/>
              </w:rPr>
              <w:t>Week 7</w:t>
            </w:r>
          </w:p>
        </w:tc>
        <w:tc>
          <w:tcPr>
            <w:tcW w:w="911" w:type="dxa"/>
          </w:tcPr>
          <w:p w:rsidR="00B80AA3" w:rsidRPr="00CE3B13" w:rsidRDefault="00B80AA3" w:rsidP="00490A42">
            <w:pPr>
              <w:rPr>
                <w:sz w:val="28"/>
                <w:szCs w:val="28"/>
              </w:rPr>
            </w:pPr>
            <w:r w:rsidRPr="00CE3B13">
              <w:rPr>
                <w:rFonts w:ascii="Gill Sans MT" w:hAnsi="Gill Sans MT"/>
                <w:sz w:val="28"/>
                <w:szCs w:val="28"/>
              </w:rPr>
              <w:t>Week 8</w:t>
            </w:r>
          </w:p>
        </w:tc>
        <w:tc>
          <w:tcPr>
            <w:tcW w:w="872" w:type="dxa"/>
          </w:tcPr>
          <w:p w:rsidR="00B80AA3" w:rsidRPr="00CE3B13" w:rsidRDefault="00B80AA3" w:rsidP="00490A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9</w:t>
            </w:r>
          </w:p>
        </w:tc>
        <w:tc>
          <w:tcPr>
            <w:tcW w:w="872" w:type="dxa"/>
          </w:tcPr>
          <w:p w:rsidR="00B80AA3" w:rsidRPr="00CE3B13" w:rsidRDefault="00B80AA3" w:rsidP="00490A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10</w:t>
            </w:r>
          </w:p>
        </w:tc>
        <w:tc>
          <w:tcPr>
            <w:tcW w:w="921" w:type="dxa"/>
            <w:gridSpan w:val="2"/>
          </w:tcPr>
          <w:p w:rsidR="00B80AA3" w:rsidRPr="00CE3B13" w:rsidRDefault="00B80AA3" w:rsidP="00490A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11</w:t>
            </w:r>
          </w:p>
        </w:tc>
        <w:tc>
          <w:tcPr>
            <w:tcW w:w="872" w:type="dxa"/>
          </w:tcPr>
          <w:p w:rsidR="00B80AA3" w:rsidRPr="00CE3B13" w:rsidRDefault="00B80AA3" w:rsidP="00490A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12</w:t>
            </w:r>
          </w:p>
        </w:tc>
        <w:tc>
          <w:tcPr>
            <w:tcW w:w="902" w:type="dxa"/>
          </w:tcPr>
          <w:p w:rsidR="00B80AA3" w:rsidRPr="00CE3B13" w:rsidRDefault="00B80AA3" w:rsidP="00490A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13</w:t>
            </w:r>
          </w:p>
        </w:tc>
        <w:tc>
          <w:tcPr>
            <w:tcW w:w="1145" w:type="dxa"/>
          </w:tcPr>
          <w:p w:rsidR="00B80AA3" w:rsidRPr="00CE3B13" w:rsidRDefault="00B80AA3" w:rsidP="00490A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14</w:t>
            </w:r>
          </w:p>
        </w:tc>
      </w:tr>
      <w:tr w:rsidR="00B80AA3" w:rsidRPr="00CE3B13" w:rsidTr="00B80AA3">
        <w:trPr>
          <w:trHeight w:val="323"/>
        </w:trPr>
        <w:tc>
          <w:tcPr>
            <w:tcW w:w="1161" w:type="dxa"/>
            <w:vMerge w:val="restart"/>
          </w:tcPr>
          <w:p w:rsidR="00B80AA3" w:rsidRPr="00CE3B13" w:rsidRDefault="00B80AA3" w:rsidP="00CE3B1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CE3B13">
              <w:rPr>
                <w:rFonts w:ascii="Gill Sans MT" w:hAnsi="Gill Sans MT"/>
                <w:sz w:val="28"/>
                <w:szCs w:val="28"/>
              </w:rPr>
              <w:t>Autumn</w:t>
            </w:r>
          </w:p>
        </w:tc>
        <w:tc>
          <w:tcPr>
            <w:tcW w:w="3154" w:type="dxa"/>
            <w:gridSpan w:val="4"/>
            <w:vMerge w:val="restart"/>
          </w:tcPr>
          <w:p w:rsidR="00B80AA3" w:rsidRPr="00CE3B13" w:rsidRDefault="00B80AA3" w:rsidP="005E42FC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Getting to know children through play and interaction within the provision. </w:t>
            </w:r>
          </w:p>
        </w:tc>
        <w:tc>
          <w:tcPr>
            <w:tcW w:w="4621" w:type="dxa"/>
            <w:gridSpan w:val="7"/>
            <w:vMerge w:val="restart"/>
          </w:tcPr>
          <w:p w:rsidR="00B80AA3" w:rsidRDefault="00B80AA3" w:rsidP="005E42FC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NCETM Numbers to 10</w:t>
            </w:r>
          </w:p>
          <w:p w:rsidR="00B80AA3" w:rsidRPr="00CE3B13" w:rsidRDefault="00B80AA3" w:rsidP="005E42FC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Counting, subitising, partitioning, conservation of number</w:t>
            </w:r>
          </w:p>
        </w:tc>
        <w:tc>
          <w:tcPr>
            <w:tcW w:w="5584" w:type="dxa"/>
            <w:gridSpan w:val="7"/>
          </w:tcPr>
          <w:p w:rsidR="00B80AA3" w:rsidRPr="00CE3B13" w:rsidRDefault="00B80AA3" w:rsidP="005E42FC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Consolidation of numbers to 10</w:t>
            </w:r>
          </w:p>
        </w:tc>
      </w:tr>
      <w:tr w:rsidR="00B80AA3" w:rsidRPr="00CE3B13" w:rsidTr="00B80AA3">
        <w:trPr>
          <w:trHeight w:val="323"/>
        </w:trPr>
        <w:tc>
          <w:tcPr>
            <w:tcW w:w="1161" w:type="dxa"/>
            <w:vMerge/>
          </w:tcPr>
          <w:p w:rsidR="00B80AA3" w:rsidRPr="00CE3B13" w:rsidRDefault="00B80AA3" w:rsidP="00B80AA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3154" w:type="dxa"/>
            <w:gridSpan w:val="4"/>
            <w:vMerge/>
          </w:tcPr>
          <w:p w:rsidR="00B80AA3" w:rsidRDefault="00B80AA3" w:rsidP="00B80AA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4621" w:type="dxa"/>
            <w:gridSpan w:val="7"/>
            <w:vMerge/>
          </w:tcPr>
          <w:p w:rsidR="00B80AA3" w:rsidRDefault="00B80AA3" w:rsidP="00B80AA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5584" w:type="dxa"/>
            <w:gridSpan w:val="7"/>
          </w:tcPr>
          <w:p w:rsidR="00B80AA3" w:rsidRDefault="00B80AA3" w:rsidP="00B80AA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Shape, Space and Measures including; size, mass, capacity, pattern, 2D shapes, positional language.</w:t>
            </w:r>
          </w:p>
        </w:tc>
      </w:tr>
      <w:tr w:rsidR="00922E79" w:rsidRPr="00CE3B13" w:rsidTr="00922E79">
        <w:trPr>
          <w:trHeight w:val="1037"/>
        </w:trPr>
        <w:tc>
          <w:tcPr>
            <w:tcW w:w="1161" w:type="dxa"/>
            <w:vMerge w:val="restart"/>
          </w:tcPr>
          <w:p w:rsidR="00922E79" w:rsidRPr="00CE3B13" w:rsidRDefault="00922E79" w:rsidP="00B80AA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CE3B13">
              <w:rPr>
                <w:rFonts w:ascii="Gill Sans MT" w:hAnsi="Gill Sans MT"/>
                <w:sz w:val="28"/>
                <w:szCs w:val="28"/>
              </w:rPr>
              <w:t>Spring</w:t>
            </w:r>
          </w:p>
        </w:tc>
        <w:tc>
          <w:tcPr>
            <w:tcW w:w="6864" w:type="dxa"/>
            <w:gridSpan w:val="10"/>
            <w:vMerge w:val="restart"/>
          </w:tcPr>
          <w:p w:rsidR="00922E79" w:rsidRPr="00CE3B13" w:rsidRDefault="00922E79" w:rsidP="00B80AA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NCETM series 2 addition, subtraction, doubling, halving and sharing, number bonds to 10. </w:t>
            </w:r>
          </w:p>
        </w:tc>
        <w:tc>
          <w:tcPr>
            <w:tcW w:w="4448" w:type="dxa"/>
            <w:gridSpan w:val="6"/>
          </w:tcPr>
          <w:p w:rsidR="00922E79" w:rsidRPr="00CE3B13" w:rsidRDefault="00922E79" w:rsidP="00B80AA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Consolidation of number from Spring 1.</w:t>
            </w:r>
          </w:p>
        </w:tc>
        <w:tc>
          <w:tcPr>
            <w:tcW w:w="2047" w:type="dxa"/>
            <w:gridSpan w:val="2"/>
            <w:vMerge w:val="restart"/>
          </w:tcPr>
          <w:p w:rsidR="00922E79" w:rsidRPr="00CE3B13" w:rsidRDefault="00922E79" w:rsidP="00B80AA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END OF TERM</w:t>
            </w:r>
          </w:p>
        </w:tc>
      </w:tr>
      <w:tr w:rsidR="00922E79" w:rsidRPr="00CE3B13" w:rsidTr="00922E79">
        <w:trPr>
          <w:trHeight w:val="1037"/>
        </w:trPr>
        <w:tc>
          <w:tcPr>
            <w:tcW w:w="1161" w:type="dxa"/>
            <w:vMerge/>
          </w:tcPr>
          <w:p w:rsidR="00922E79" w:rsidRPr="00CE3B13" w:rsidRDefault="00922E79" w:rsidP="00B80AA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6864" w:type="dxa"/>
            <w:gridSpan w:val="10"/>
            <w:vMerge/>
          </w:tcPr>
          <w:p w:rsidR="00922E79" w:rsidRDefault="00922E79" w:rsidP="00B80AA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4448" w:type="dxa"/>
            <w:gridSpan w:val="6"/>
          </w:tcPr>
          <w:p w:rsidR="00922E79" w:rsidRDefault="00922E79" w:rsidP="00B80AA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Length, height, time, 3D shape</w:t>
            </w:r>
          </w:p>
        </w:tc>
        <w:tc>
          <w:tcPr>
            <w:tcW w:w="2047" w:type="dxa"/>
            <w:gridSpan w:val="2"/>
            <w:vMerge/>
          </w:tcPr>
          <w:p w:rsidR="00922E79" w:rsidRDefault="00922E79" w:rsidP="00B80AA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922E79" w:rsidRPr="00CE3B13" w:rsidTr="003935AA">
        <w:trPr>
          <w:trHeight w:val="330"/>
        </w:trPr>
        <w:tc>
          <w:tcPr>
            <w:tcW w:w="1161" w:type="dxa"/>
            <w:vMerge w:val="restart"/>
          </w:tcPr>
          <w:p w:rsidR="00922E79" w:rsidRPr="00CE3B13" w:rsidRDefault="00922E79" w:rsidP="00B80AA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CE3B13">
              <w:rPr>
                <w:rFonts w:ascii="Gill Sans MT" w:hAnsi="Gill Sans MT"/>
                <w:sz w:val="28"/>
                <w:szCs w:val="28"/>
              </w:rPr>
              <w:t>Summer</w:t>
            </w:r>
          </w:p>
        </w:tc>
        <w:tc>
          <w:tcPr>
            <w:tcW w:w="3339" w:type="dxa"/>
            <w:gridSpan w:val="5"/>
          </w:tcPr>
          <w:p w:rsidR="00922E79" w:rsidRPr="00CE3B13" w:rsidRDefault="00EA1CE5" w:rsidP="00B80AA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Building numbers beyond 10. </w:t>
            </w:r>
          </w:p>
        </w:tc>
        <w:tc>
          <w:tcPr>
            <w:tcW w:w="3340" w:type="dxa"/>
            <w:gridSpan w:val="4"/>
          </w:tcPr>
          <w:p w:rsidR="00922E79" w:rsidRDefault="00EA1CE5" w:rsidP="00B80AA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Addition</w:t>
            </w:r>
          </w:p>
          <w:p w:rsidR="00EA1CE5" w:rsidRPr="00CE3B13" w:rsidRDefault="00EA1CE5" w:rsidP="00B80AA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Subtraction</w:t>
            </w:r>
          </w:p>
        </w:tc>
        <w:tc>
          <w:tcPr>
            <w:tcW w:w="3340" w:type="dxa"/>
            <w:gridSpan w:val="5"/>
          </w:tcPr>
          <w:p w:rsidR="00922E79" w:rsidRPr="00CE3B13" w:rsidRDefault="00EA1CE5" w:rsidP="00B80AA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Doubling, sharing, grouping, even, odd</w:t>
            </w:r>
          </w:p>
        </w:tc>
        <w:tc>
          <w:tcPr>
            <w:tcW w:w="3340" w:type="dxa"/>
            <w:gridSpan w:val="4"/>
          </w:tcPr>
          <w:p w:rsidR="00922E79" w:rsidRPr="00CE3B13" w:rsidRDefault="00EA1CE5" w:rsidP="00B80AA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Deepening understanding of patterns and relationships</w:t>
            </w:r>
          </w:p>
        </w:tc>
      </w:tr>
      <w:tr w:rsidR="00922E79" w:rsidRPr="00CE3B13" w:rsidTr="003935AA">
        <w:trPr>
          <w:trHeight w:val="330"/>
        </w:trPr>
        <w:tc>
          <w:tcPr>
            <w:tcW w:w="1161" w:type="dxa"/>
            <w:vMerge/>
          </w:tcPr>
          <w:p w:rsidR="00922E79" w:rsidRPr="00CE3B13" w:rsidRDefault="00922E79" w:rsidP="00B80AA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3339" w:type="dxa"/>
            <w:gridSpan w:val="5"/>
          </w:tcPr>
          <w:p w:rsidR="00922E79" w:rsidRDefault="00EA1CE5" w:rsidP="00B80AA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Spatial Reasoning (SR)</w:t>
            </w:r>
          </w:p>
          <w:p w:rsidR="00EA1CE5" w:rsidRPr="00CE3B13" w:rsidRDefault="00EA1CE5" w:rsidP="00B80AA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Match, rotate, manipulate</w:t>
            </w:r>
          </w:p>
        </w:tc>
        <w:tc>
          <w:tcPr>
            <w:tcW w:w="3340" w:type="dxa"/>
            <w:gridSpan w:val="4"/>
          </w:tcPr>
          <w:p w:rsidR="00922E79" w:rsidRDefault="00EA1CE5" w:rsidP="00B80AA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SR</w:t>
            </w:r>
          </w:p>
          <w:p w:rsidR="00EA1CE5" w:rsidRPr="00CE3B13" w:rsidRDefault="00EA1CE5" w:rsidP="00B80AA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Compose and decompose </w:t>
            </w:r>
          </w:p>
        </w:tc>
        <w:tc>
          <w:tcPr>
            <w:tcW w:w="3340" w:type="dxa"/>
            <w:gridSpan w:val="5"/>
          </w:tcPr>
          <w:p w:rsidR="00922E79" w:rsidRDefault="00EA1CE5" w:rsidP="00B80AA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SR</w:t>
            </w:r>
          </w:p>
          <w:p w:rsidR="00EA1CE5" w:rsidRPr="00CE3B13" w:rsidRDefault="00EA1CE5" w:rsidP="00B80AA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Visualise and Build</w:t>
            </w:r>
          </w:p>
        </w:tc>
        <w:tc>
          <w:tcPr>
            <w:tcW w:w="3340" w:type="dxa"/>
            <w:gridSpan w:val="4"/>
          </w:tcPr>
          <w:p w:rsidR="00922E79" w:rsidRDefault="00EA1CE5" w:rsidP="00B80AA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SR</w:t>
            </w:r>
          </w:p>
          <w:p w:rsidR="00EA1CE5" w:rsidRPr="00CE3B13" w:rsidRDefault="00EA1CE5" w:rsidP="00B80AA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Mapping</w:t>
            </w:r>
          </w:p>
        </w:tc>
      </w:tr>
    </w:tbl>
    <w:p w:rsidR="003C2483" w:rsidRDefault="003C2483" w:rsidP="0013318B">
      <w:pPr>
        <w:rPr>
          <w:rFonts w:ascii="Gill Sans MT" w:hAnsi="Gill Sans MT"/>
          <w:sz w:val="32"/>
          <w:szCs w:val="32"/>
        </w:rPr>
      </w:pPr>
    </w:p>
    <w:p w:rsidR="00EA1CE5" w:rsidRDefault="00EA1CE5" w:rsidP="003C2483">
      <w:pPr>
        <w:jc w:val="center"/>
        <w:rPr>
          <w:rFonts w:ascii="Gill Sans MT" w:hAnsi="Gill Sans MT"/>
          <w:b/>
          <w:sz w:val="36"/>
          <w:szCs w:val="36"/>
          <w:u w:val="single"/>
        </w:rPr>
      </w:pPr>
    </w:p>
    <w:p w:rsidR="003C2483" w:rsidRDefault="003C2483" w:rsidP="003C2483">
      <w:pPr>
        <w:jc w:val="center"/>
        <w:rPr>
          <w:rFonts w:ascii="Gill Sans MT" w:hAnsi="Gill Sans MT"/>
          <w:b/>
          <w:sz w:val="36"/>
          <w:szCs w:val="36"/>
          <w:u w:val="single"/>
        </w:rPr>
      </w:pPr>
      <w:r>
        <w:rPr>
          <w:rFonts w:ascii="Gill Sans MT" w:hAnsi="Gill Sans MT"/>
          <w:b/>
          <w:sz w:val="36"/>
          <w:szCs w:val="36"/>
          <w:u w:val="single"/>
        </w:rPr>
        <w:t xml:space="preserve">Overall </w:t>
      </w:r>
      <w:r w:rsidR="00EA1CE5">
        <w:rPr>
          <w:rFonts w:ascii="Gill Sans MT" w:hAnsi="Gill Sans MT"/>
          <w:b/>
          <w:sz w:val="36"/>
          <w:szCs w:val="36"/>
          <w:u w:val="single"/>
        </w:rPr>
        <w:t>I</w:t>
      </w:r>
      <w:r w:rsidR="004C7A3F">
        <w:rPr>
          <w:rFonts w:ascii="Gill Sans MT" w:hAnsi="Gill Sans MT"/>
          <w:b/>
          <w:sz w:val="36"/>
          <w:szCs w:val="36"/>
          <w:u w:val="single"/>
        </w:rPr>
        <w:t xml:space="preserve">ntent for </w:t>
      </w:r>
      <w:r w:rsidR="00FF14AD">
        <w:rPr>
          <w:rFonts w:ascii="Gill Sans MT" w:hAnsi="Gill Sans MT"/>
          <w:b/>
          <w:sz w:val="36"/>
          <w:szCs w:val="36"/>
          <w:u w:val="single"/>
        </w:rPr>
        <w:t xml:space="preserve">EYFS </w:t>
      </w:r>
      <w:r w:rsidR="00EA1CE5">
        <w:rPr>
          <w:rFonts w:ascii="Gill Sans MT" w:hAnsi="Gill Sans MT"/>
          <w:b/>
          <w:sz w:val="36"/>
          <w:szCs w:val="36"/>
          <w:u w:val="single"/>
        </w:rPr>
        <w:t>M</w:t>
      </w:r>
      <w:r w:rsidR="004C7A3F">
        <w:rPr>
          <w:rFonts w:ascii="Gill Sans MT" w:hAnsi="Gill Sans MT"/>
          <w:b/>
          <w:sz w:val="36"/>
          <w:szCs w:val="36"/>
          <w:u w:val="single"/>
        </w:rPr>
        <w:t>aths</w:t>
      </w:r>
    </w:p>
    <w:p w:rsidR="003C2483" w:rsidRDefault="003C2483" w:rsidP="003C2483">
      <w:pPr>
        <w:rPr>
          <w:rFonts w:ascii="Gill Sans MT" w:hAnsi="Gill Sans MT"/>
          <w:sz w:val="36"/>
          <w:szCs w:val="36"/>
        </w:rPr>
      </w:pPr>
      <w:r>
        <w:rPr>
          <w:rFonts w:ascii="Gill Sans MT" w:hAnsi="Gill Sans MT"/>
          <w:sz w:val="36"/>
          <w:szCs w:val="36"/>
        </w:rPr>
        <w:t>Below outli</w:t>
      </w:r>
      <w:r w:rsidR="00FF14AD">
        <w:rPr>
          <w:rFonts w:ascii="Gill Sans MT" w:hAnsi="Gill Sans MT"/>
          <w:sz w:val="36"/>
          <w:szCs w:val="36"/>
        </w:rPr>
        <w:t>nes</w:t>
      </w:r>
      <w:r w:rsidR="004C7A3F">
        <w:rPr>
          <w:rFonts w:ascii="Gill Sans MT" w:hAnsi="Gill Sans MT"/>
          <w:sz w:val="36"/>
          <w:szCs w:val="36"/>
        </w:rPr>
        <w:t xml:space="preserve"> our intent for maths</w:t>
      </w:r>
      <w:r>
        <w:rPr>
          <w:rFonts w:ascii="Gill Sans MT" w:hAnsi="Gill Sans MT"/>
          <w:sz w:val="36"/>
          <w:szCs w:val="36"/>
        </w:rPr>
        <w:t xml:space="preserve"> for our </w:t>
      </w:r>
      <w:r w:rsidR="00FF14AD">
        <w:rPr>
          <w:rFonts w:ascii="Gill Sans MT" w:hAnsi="Gill Sans MT"/>
          <w:sz w:val="36"/>
          <w:szCs w:val="36"/>
        </w:rPr>
        <w:t xml:space="preserve">EYFS </w:t>
      </w:r>
      <w:r>
        <w:rPr>
          <w:rFonts w:ascii="Gill Sans MT" w:hAnsi="Gill Sans MT"/>
          <w:sz w:val="36"/>
          <w:szCs w:val="36"/>
        </w:rPr>
        <w:t>children.</w:t>
      </w:r>
    </w:p>
    <w:p w:rsidR="00FD6208" w:rsidRDefault="00BC3F5F" w:rsidP="003C2483">
      <w:pPr>
        <w:rPr>
          <w:rFonts w:ascii="Gill Sans MT" w:hAnsi="Gill Sans MT"/>
          <w:sz w:val="36"/>
          <w:szCs w:val="36"/>
        </w:rPr>
      </w:pPr>
      <w:r>
        <w:rPr>
          <w:rFonts w:ascii="Gill Sans MT" w:hAnsi="Gill Sans MT"/>
          <w:sz w:val="36"/>
          <w:szCs w:val="36"/>
        </w:rPr>
        <w:t>A mathematician</w:t>
      </w:r>
      <w:r w:rsidR="003C2483">
        <w:rPr>
          <w:rFonts w:ascii="Gill Sans MT" w:hAnsi="Gill Sans MT"/>
          <w:sz w:val="36"/>
          <w:szCs w:val="36"/>
        </w:rPr>
        <w:t xml:space="preserve"> in </w:t>
      </w:r>
      <w:r w:rsidR="00FF14AD">
        <w:rPr>
          <w:rFonts w:ascii="Gill Sans MT" w:hAnsi="Gill Sans MT"/>
          <w:sz w:val="36"/>
          <w:szCs w:val="36"/>
        </w:rPr>
        <w:t xml:space="preserve">the EYFS </w:t>
      </w:r>
      <w:r w:rsidR="003C2483">
        <w:rPr>
          <w:rFonts w:ascii="Gill Sans MT" w:hAnsi="Gill Sans MT"/>
          <w:sz w:val="36"/>
          <w:szCs w:val="36"/>
        </w:rPr>
        <w:t>will be able to:</w:t>
      </w:r>
    </w:p>
    <w:p w:rsidR="00EA1CE5" w:rsidRDefault="00FF14AD" w:rsidP="004C7A3F">
      <w:pPr>
        <w:pStyle w:val="ListParagraph"/>
        <w:numPr>
          <w:ilvl w:val="0"/>
          <w:numId w:val="1"/>
        </w:numPr>
        <w:rPr>
          <w:rFonts w:ascii="Gill Sans MT" w:hAnsi="Gill Sans MT"/>
          <w:sz w:val="36"/>
          <w:szCs w:val="36"/>
        </w:rPr>
      </w:pPr>
      <w:r w:rsidRPr="00FF14AD">
        <w:rPr>
          <w:rFonts w:ascii="Gill Sans MT" w:hAnsi="Gill Sans MT"/>
          <w:sz w:val="36"/>
          <w:szCs w:val="36"/>
        </w:rPr>
        <w:t xml:space="preserve">Count </w:t>
      </w:r>
      <w:r w:rsidR="00EA1CE5">
        <w:rPr>
          <w:rFonts w:ascii="Gill Sans MT" w:hAnsi="Gill Sans MT"/>
          <w:sz w:val="36"/>
          <w:szCs w:val="36"/>
        </w:rPr>
        <w:t xml:space="preserve">objects, actions and sounds </w:t>
      </w:r>
      <w:r w:rsidRPr="00FF14AD">
        <w:rPr>
          <w:rFonts w:ascii="Gill Sans MT" w:hAnsi="Gill Sans MT"/>
          <w:sz w:val="36"/>
          <w:szCs w:val="36"/>
        </w:rPr>
        <w:t>reli</w:t>
      </w:r>
      <w:r w:rsidR="00EA1CE5">
        <w:rPr>
          <w:rFonts w:ascii="Gill Sans MT" w:hAnsi="Gill Sans MT"/>
          <w:sz w:val="36"/>
          <w:szCs w:val="36"/>
        </w:rPr>
        <w:t>ably with numbers beyond 10.</w:t>
      </w:r>
    </w:p>
    <w:p w:rsidR="00FD6208" w:rsidRDefault="00FD6208" w:rsidP="004C7A3F">
      <w:pPr>
        <w:pStyle w:val="ListParagraph"/>
        <w:numPr>
          <w:ilvl w:val="0"/>
          <w:numId w:val="1"/>
        </w:numPr>
        <w:rPr>
          <w:rFonts w:ascii="Gill Sans MT" w:hAnsi="Gill Sans MT"/>
          <w:sz w:val="36"/>
          <w:szCs w:val="36"/>
        </w:rPr>
      </w:pPr>
      <w:r>
        <w:rPr>
          <w:rFonts w:ascii="Gill Sans MT" w:hAnsi="Gill Sans MT"/>
          <w:sz w:val="36"/>
          <w:szCs w:val="36"/>
        </w:rPr>
        <w:t>Verbally count beyond 20, recognising the pattern of the counting system.</w:t>
      </w:r>
    </w:p>
    <w:p w:rsidR="00FF14AD" w:rsidRDefault="00EA1CE5" w:rsidP="004C7A3F">
      <w:pPr>
        <w:pStyle w:val="ListParagraph"/>
        <w:numPr>
          <w:ilvl w:val="0"/>
          <w:numId w:val="1"/>
        </w:numPr>
        <w:rPr>
          <w:rFonts w:ascii="Gill Sans MT" w:hAnsi="Gill Sans MT"/>
          <w:sz w:val="36"/>
          <w:szCs w:val="36"/>
        </w:rPr>
      </w:pPr>
      <w:r>
        <w:rPr>
          <w:rFonts w:ascii="Gill Sans MT" w:hAnsi="Gill Sans MT"/>
          <w:sz w:val="36"/>
          <w:szCs w:val="36"/>
        </w:rPr>
        <w:t xml:space="preserve">Recognise numbers to 10 and beyond. </w:t>
      </w:r>
    </w:p>
    <w:p w:rsidR="00EA1CE5" w:rsidRDefault="00EA1CE5" w:rsidP="004C7A3F">
      <w:pPr>
        <w:pStyle w:val="ListParagraph"/>
        <w:numPr>
          <w:ilvl w:val="0"/>
          <w:numId w:val="1"/>
        </w:numPr>
        <w:rPr>
          <w:rFonts w:ascii="Gill Sans MT" w:hAnsi="Gill Sans MT"/>
          <w:sz w:val="36"/>
          <w:szCs w:val="36"/>
        </w:rPr>
      </w:pPr>
      <w:r>
        <w:rPr>
          <w:rFonts w:ascii="Gill Sans MT" w:hAnsi="Gill Sans MT"/>
          <w:sz w:val="36"/>
          <w:szCs w:val="36"/>
        </w:rPr>
        <w:t>Subitise small quantities.</w:t>
      </w:r>
    </w:p>
    <w:p w:rsidR="00EA1CE5" w:rsidRDefault="00EA1CE5" w:rsidP="004C7A3F">
      <w:pPr>
        <w:pStyle w:val="ListParagraph"/>
        <w:numPr>
          <w:ilvl w:val="0"/>
          <w:numId w:val="1"/>
        </w:numPr>
        <w:rPr>
          <w:rFonts w:ascii="Gill Sans MT" w:hAnsi="Gill Sans MT"/>
          <w:sz w:val="36"/>
          <w:szCs w:val="36"/>
        </w:rPr>
      </w:pPr>
      <w:r>
        <w:rPr>
          <w:rFonts w:ascii="Gill Sans MT" w:hAnsi="Gill Sans MT"/>
          <w:sz w:val="36"/>
          <w:szCs w:val="36"/>
        </w:rPr>
        <w:t>Explore composition of numbers to 10.</w:t>
      </w:r>
    </w:p>
    <w:p w:rsidR="00EA1CE5" w:rsidRDefault="00EA1CE5" w:rsidP="004C7A3F">
      <w:pPr>
        <w:pStyle w:val="ListParagraph"/>
        <w:numPr>
          <w:ilvl w:val="0"/>
          <w:numId w:val="1"/>
        </w:numPr>
        <w:rPr>
          <w:rFonts w:ascii="Gill Sans MT" w:hAnsi="Gill Sans MT"/>
          <w:sz w:val="36"/>
          <w:szCs w:val="36"/>
        </w:rPr>
      </w:pPr>
      <w:r>
        <w:rPr>
          <w:rFonts w:ascii="Gill Sans MT" w:hAnsi="Gill Sans MT"/>
          <w:sz w:val="36"/>
          <w:szCs w:val="36"/>
        </w:rPr>
        <w:t>Automatically recall number bonds to 5 and some number bonds to 10</w:t>
      </w:r>
      <w:r w:rsidR="00FD6208">
        <w:rPr>
          <w:rFonts w:ascii="Gill Sans MT" w:hAnsi="Gill Sans MT"/>
          <w:sz w:val="36"/>
          <w:szCs w:val="36"/>
        </w:rPr>
        <w:t xml:space="preserve">. </w:t>
      </w:r>
    </w:p>
    <w:p w:rsidR="00FD6208" w:rsidRDefault="00EA1CE5" w:rsidP="00EA1CE5">
      <w:pPr>
        <w:pStyle w:val="ListParagraph"/>
        <w:numPr>
          <w:ilvl w:val="0"/>
          <w:numId w:val="1"/>
        </w:numPr>
        <w:rPr>
          <w:rFonts w:ascii="Gill Sans MT" w:hAnsi="Gill Sans MT"/>
          <w:sz w:val="36"/>
          <w:szCs w:val="36"/>
        </w:rPr>
      </w:pPr>
      <w:r>
        <w:rPr>
          <w:rFonts w:ascii="Gill Sans MT" w:hAnsi="Gill Sans MT"/>
          <w:sz w:val="36"/>
          <w:szCs w:val="36"/>
        </w:rPr>
        <w:t xml:space="preserve">Compare numbers </w:t>
      </w:r>
      <w:r w:rsidR="00FD6208">
        <w:rPr>
          <w:rFonts w:ascii="Gill Sans MT" w:hAnsi="Gill Sans MT"/>
          <w:sz w:val="36"/>
          <w:szCs w:val="36"/>
        </w:rPr>
        <w:t xml:space="preserve">and quantities </w:t>
      </w:r>
      <w:r>
        <w:rPr>
          <w:rFonts w:ascii="Gill Sans MT" w:hAnsi="Gill Sans MT"/>
          <w:sz w:val="36"/>
          <w:szCs w:val="36"/>
        </w:rPr>
        <w:t>and understand</w:t>
      </w:r>
      <w:r w:rsidR="00FD6208">
        <w:rPr>
          <w:rFonts w:ascii="Gill Sans MT" w:hAnsi="Gill Sans MT"/>
          <w:sz w:val="36"/>
          <w:szCs w:val="36"/>
        </w:rPr>
        <w:t xml:space="preserve">; when one quantity is greater than, less than, or the same as another quantity, </w:t>
      </w:r>
    </w:p>
    <w:p w:rsidR="00EA1CE5" w:rsidRDefault="00FD6208" w:rsidP="00EA1CE5">
      <w:pPr>
        <w:pStyle w:val="ListParagraph"/>
        <w:numPr>
          <w:ilvl w:val="0"/>
          <w:numId w:val="1"/>
        </w:numPr>
        <w:rPr>
          <w:rFonts w:ascii="Gill Sans MT" w:hAnsi="Gill Sans MT"/>
          <w:sz w:val="36"/>
          <w:szCs w:val="36"/>
        </w:rPr>
      </w:pPr>
      <w:r>
        <w:rPr>
          <w:rFonts w:ascii="Gill Sans MT" w:hAnsi="Gill Sans MT"/>
          <w:sz w:val="36"/>
          <w:szCs w:val="36"/>
        </w:rPr>
        <w:t>Understand</w:t>
      </w:r>
      <w:r w:rsidR="00EA1CE5">
        <w:rPr>
          <w:rFonts w:ascii="Gill Sans MT" w:hAnsi="Gill Sans MT"/>
          <w:sz w:val="36"/>
          <w:szCs w:val="36"/>
        </w:rPr>
        <w:t xml:space="preserve"> the one more/ one less relationship between numbers. </w:t>
      </w:r>
    </w:p>
    <w:p w:rsidR="00FD6208" w:rsidRPr="00EA1CE5" w:rsidRDefault="00FD6208" w:rsidP="00EA1CE5">
      <w:pPr>
        <w:pStyle w:val="ListParagraph"/>
        <w:numPr>
          <w:ilvl w:val="0"/>
          <w:numId w:val="1"/>
        </w:numPr>
        <w:rPr>
          <w:rFonts w:ascii="Gill Sans MT" w:hAnsi="Gill Sans MT"/>
          <w:sz w:val="36"/>
          <w:szCs w:val="36"/>
        </w:rPr>
      </w:pPr>
      <w:r>
        <w:rPr>
          <w:rFonts w:ascii="Gill Sans MT" w:hAnsi="Gill Sans MT"/>
          <w:sz w:val="36"/>
          <w:szCs w:val="36"/>
        </w:rPr>
        <w:t xml:space="preserve">Explore and represent patterns within numbers upto 10 including evens and odds, double facts and how quantities can be distributed equally. </w:t>
      </w:r>
    </w:p>
    <w:p w:rsidR="00FF14AD" w:rsidRPr="00FF14AD" w:rsidRDefault="00FF14AD" w:rsidP="004C7A3F">
      <w:pPr>
        <w:pStyle w:val="ListParagraph"/>
        <w:numPr>
          <w:ilvl w:val="0"/>
          <w:numId w:val="1"/>
        </w:numPr>
        <w:rPr>
          <w:rFonts w:ascii="Gill Sans MT" w:hAnsi="Gill Sans MT"/>
          <w:sz w:val="36"/>
          <w:szCs w:val="36"/>
        </w:rPr>
      </w:pPr>
      <w:r w:rsidRPr="00FF14AD">
        <w:rPr>
          <w:rFonts w:ascii="Gill Sans MT" w:hAnsi="Gill Sans MT"/>
          <w:sz w:val="36"/>
          <w:szCs w:val="36"/>
        </w:rPr>
        <w:t xml:space="preserve">Use quantities and objects to add and subtract two single-digit numbers and count on or back to find the answer. </w:t>
      </w:r>
    </w:p>
    <w:p w:rsidR="00EA1CE5" w:rsidRDefault="00EA1CE5" w:rsidP="004C7A3F">
      <w:pPr>
        <w:pStyle w:val="ListParagraph"/>
        <w:numPr>
          <w:ilvl w:val="0"/>
          <w:numId w:val="1"/>
        </w:numPr>
        <w:rPr>
          <w:rFonts w:ascii="Gill Sans MT" w:hAnsi="Gill Sans MT"/>
          <w:sz w:val="36"/>
          <w:szCs w:val="36"/>
        </w:rPr>
      </w:pPr>
      <w:r>
        <w:rPr>
          <w:rFonts w:ascii="Gill Sans MT" w:hAnsi="Gill Sans MT"/>
          <w:sz w:val="36"/>
          <w:szCs w:val="36"/>
        </w:rPr>
        <w:t>Select, rotate and manipulate shapes to develop spatial reasoning skills.</w:t>
      </w:r>
    </w:p>
    <w:p w:rsidR="00EA1CE5" w:rsidRDefault="00FD6208" w:rsidP="004C7A3F">
      <w:pPr>
        <w:pStyle w:val="ListParagraph"/>
        <w:numPr>
          <w:ilvl w:val="0"/>
          <w:numId w:val="1"/>
        </w:numPr>
        <w:rPr>
          <w:rFonts w:ascii="Gill Sans MT" w:hAnsi="Gill Sans MT"/>
          <w:sz w:val="36"/>
          <w:szCs w:val="36"/>
        </w:rPr>
      </w:pPr>
      <w:r>
        <w:rPr>
          <w:rFonts w:ascii="Gill Sans MT" w:hAnsi="Gill Sans MT"/>
          <w:sz w:val="36"/>
          <w:szCs w:val="36"/>
        </w:rPr>
        <w:lastRenderedPageBreak/>
        <w:t>Compose and decom</w:t>
      </w:r>
      <w:r w:rsidR="00EA1CE5">
        <w:rPr>
          <w:rFonts w:ascii="Gill Sans MT" w:hAnsi="Gill Sans MT"/>
          <w:sz w:val="36"/>
          <w:szCs w:val="36"/>
        </w:rPr>
        <w:t xml:space="preserve">pose shapes so that children recognise a shape can have other shapes within it. </w:t>
      </w:r>
    </w:p>
    <w:p w:rsidR="00EA1CE5" w:rsidRDefault="00EA1CE5" w:rsidP="004C7A3F">
      <w:pPr>
        <w:pStyle w:val="ListParagraph"/>
        <w:numPr>
          <w:ilvl w:val="0"/>
          <w:numId w:val="1"/>
        </w:numPr>
        <w:rPr>
          <w:rFonts w:ascii="Gill Sans MT" w:hAnsi="Gill Sans MT"/>
          <w:sz w:val="36"/>
          <w:szCs w:val="36"/>
        </w:rPr>
      </w:pPr>
      <w:r>
        <w:rPr>
          <w:rFonts w:ascii="Gill Sans MT" w:hAnsi="Gill Sans MT"/>
          <w:sz w:val="36"/>
          <w:szCs w:val="36"/>
        </w:rPr>
        <w:t>Continu</w:t>
      </w:r>
      <w:r w:rsidR="00FD6208">
        <w:rPr>
          <w:rFonts w:ascii="Gill Sans MT" w:hAnsi="Gill Sans MT"/>
          <w:sz w:val="36"/>
          <w:szCs w:val="36"/>
        </w:rPr>
        <w:t xml:space="preserve">e, copy and create repeating </w:t>
      </w:r>
      <w:r>
        <w:rPr>
          <w:rFonts w:ascii="Gill Sans MT" w:hAnsi="Gill Sans MT"/>
          <w:sz w:val="36"/>
          <w:szCs w:val="36"/>
        </w:rPr>
        <w:t>patterns.</w:t>
      </w:r>
    </w:p>
    <w:p w:rsidR="00EA1CE5" w:rsidRPr="00FF14AD" w:rsidRDefault="00EA1CE5" w:rsidP="004C7A3F">
      <w:pPr>
        <w:pStyle w:val="ListParagraph"/>
        <w:numPr>
          <w:ilvl w:val="0"/>
          <w:numId w:val="1"/>
        </w:numPr>
        <w:rPr>
          <w:rFonts w:ascii="Gill Sans MT" w:hAnsi="Gill Sans MT"/>
          <w:sz w:val="36"/>
          <w:szCs w:val="36"/>
        </w:rPr>
      </w:pPr>
      <w:r>
        <w:rPr>
          <w:rFonts w:ascii="Gill Sans MT" w:hAnsi="Gill Sans MT"/>
          <w:sz w:val="36"/>
          <w:szCs w:val="36"/>
        </w:rPr>
        <w:t xml:space="preserve">Compare length, weight and capacity. </w:t>
      </w:r>
    </w:p>
    <w:p w:rsidR="003C2483" w:rsidRDefault="003C2483" w:rsidP="003C2483">
      <w:pPr>
        <w:rPr>
          <w:rFonts w:ascii="Gill Sans MT" w:hAnsi="Gill Sans MT"/>
          <w:sz w:val="36"/>
          <w:szCs w:val="36"/>
        </w:rPr>
      </w:pPr>
      <w:r>
        <w:rPr>
          <w:rFonts w:ascii="Gill Sans MT" w:hAnsi="Gill Sans MT"/>
          <w:sz w:val="36"/>
          <w:szCs w:val="36"/>
        </w:rPr>
        <w:t>Our aspirat</w:t>
      </w:r>
      <w:r w:rsidR="004C7A3F">
        <w:rPr>
          <w:rFonts w:ascii="Gill Sans MT" w:hAnsi="Gill Sans MT"/>
          <w:sz w:val="36"/>
          <w:szCs w:val="36"/>
        </w:rPr>
        <w:t xml:space="preserve">ions and expectations for Year </w:t>
      </w:r>
      <w:r w:rsidR="00FF14AD">
        <w:rPr>
          <w:rFonts w:ascii="Gill Sans MT" w:hAnsi="Gill Sans MT"/>
          <w:sz w:val="36"/>
          <w:szCs w:val="36"/>
        </w:rPr>
        <w:t>1 and 2</w:t>
      </w:r>
      <w:r>
        <w:rPr>
          <w:rFonts w:ascii="Gill Sans MT" w:hAnsi="Gill Sans MT"/>
          <w:sz w:val="36"/>
          <w:szCs w:val="36"/>
        </w:rPr>
        <w:t xml:space="preserve"> are:</w:t>
      </w:r>
    </w:p>
    <w:p w:rsidR="004C7A3F" w:rsidRDefault="00FF14AD" w:rsidP="004C7A3F">
      <w:pPr>
        <w:pStyle w:val="ListParagraph"/>
        <w:numPr>
          <w:ilvl w:val="0"/>
          <w:numId w:val="2"/>
        </w:numPr>
        <w:rPr>
          <w:rFonts w:ascii="Gill Sans MT" w:hAnsi="Gill Sans MT"/>
          <w:sz w:val="36"/>
          <w:szCs w:val="36"/>
        </w:rPr>
      </w:pPr>
      <w:r>
        <w:rPr>
          <w:rFonts w:ascii="Gill Sans MT" w:hAnsi="Gill Sans MT"/>
          <w:sz w:val="36"/>
          <w:szCs w:val="36"/>
        </w:rPr>
        <w:t xml:space="preserve">Build on their prior learning and continue to develop confidence as a mathematician. </w:t>
      </w:r>
    </w:p>
    <w:p w:rsidR="00FF14AD" w:rsidRDefault="00FF14AD" w:rsidP="00FF14AD">
      <w:pPr>
        <w:pStyle w:val="ListParagraph"/>
        <w:numPr>
          <w:ilvl w:val="0"/>
          <w:numId w:val="2"/>
        </w:numPr>
        <w:rPr>
          <w:rFonts w:ascii="Gill Sans MT" w:hAnsi="Gill Sans MT"/>
          <w:sz w:val="36"/>
          <w:szCs w:val="36"/>
        </w:rPr>
      </w:pPr>
      <w:r>
        <w:rPr>
          <w:rFonts w:ascii="Gill Sans MT" w:hAnsi="Gill Sans MT"/>
          <w:sz w:val="36"/>
          <w:szCs w:val="36"/>
        </w:rPr>
        <w:t xml:space="preserve">Enjoy maths and develop their understanding and application through relevant and meaningful contexts. </w:t>
      </w:r>
    </w:p>
    <w:p w:rsidR="00FF14AD" w:rsidRDefault="00FF14AD" w:rsidP="00FF14AD">
      <w:pPr>
        <w:pStyle w:val="ListParagraph"/>
        <w:numPr>
          <w:ilvl w:val="0"/>
          <w:numId w:val="2"/>
        </w:numPr>
        <w:rPr>
          <w:rFonts w:ascii="Gill Sans MT" w:hAnsi="Gill Sans MT"/>
          <w:sz w:val="36"/>
          <w:szCs w:val="36"/>
        </w:rPr>
      </w:pPr>
      <w:r>
        <w:rPr>
          <w:rFonts w:ascii="Gill Sans MT" w:hAnsi="Gill Sans MT"/>
          <w:sz w:val="36"/>
          <w:szCs w:val="36"/>
        </w:rPr>
        <w:t>All make expected or more progress</w:t>
      </w:r>
    </w:p>
    <w:p w:rsidR="00FF14AD" w:rsidRPr="004C7A3F" w:rsidRDefault="00FF14AD" w:rsidP="00FF14AD">
      <w:pPr>
        <w:pStyle w:val="ListParagraph"/>
        <w:rPr>
          <w:rFonts w:ascii="Gill Sans MT" w:hAnsi="Gill Sans MT"/>
          <w:sz w:val="36"/>
          <w:szCs w:val="36"/>
        </w:rPr>
      </w:pPr>
    </w:p>
    <w:p w:rsidR="003C2483" w:rsidRDefault="003C2483" w:rsidP="003C2483">
      <w:pPr>
        <w:rPr>
          <w:rFonts w:ascii="Gill Sans MT" w:hAnsi="Gill Sans MT"/>
          <w:sz w:val="36"/>
          <w:szCs w:val="36"/>
        </w:rPr>
      </w:pPr>
    </w:p>
    <w:p w:rsidR="003C2483" w:rsidRPr="00490A42" w:rsidRDefault="003C2483" w:rsidP="0013318B">
      <w:pPr>
        <w:rPr>
          <w:rFonts w:ascii="Gill Sans MT" w:hAnsi="Gill Sans MT"/>
          <w:sz w:val="32"/>
          <w:szCs w:val="32"/>
        </w:rPr>
      </w:pPr>
    </w:p>
    <w:sectPr w:rsidR="003C2483" w:rsidRPr="00490A42" w:rsidSect="0013318B">
      <w:pgSz w:w="16838" w:h="11906" w:orient="landscape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C33" w:rsidRDefault="00D53C33" w:rsidP="00CB561D">
      <w:pPr>
        <w:spacing w:after="0" w:line="240" w:lineRule="auto"/>
      </w:pPr>
      <w:r>
        <w:separator/>
      </w:r>
    </w:p>
  </w:endnote>
  <w:endnote w:type="continuationSeparator" w:id="0">
    <w:p w:rsidR="00D53C33" w:rsidRDefault="00D53C33" w:rsidP="00CB5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C33" w:rsidRDefault="00D53C33" w:rsidP="00CB561D">
      <w:pPr>
        <w:spacing w:after="0" w:line="240" w:lineRule="auto"/>
      </w:pPr>
      <w:r>
        <w:separator/>
      </w:r>
    </w:p>
  </w:footnote>
  <w:footnote w:type="continuationSeparator" w:id="0">
    <w:p w:rsidR="00D53C33" w:rsidRDefault="00D53C33" w:rsidP="00CB5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D209C"/>
    <w:multiLevelType w:val="hybridMultilevel"/>
    <w:tmpl w:val="8B023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842CE"/>
    <w:multiLevelType w:val="hybridMultilevel"/>
    <w:tmpl w:val="3EA6C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A42"/>
    <w:rsid w:val="00063D3D"/>
    <w:rsid w:val="000A2B63"/>
    <w:rsid w:val="001266EF"/>
    <w:rsid w:val="00130F6D"/>
    <w:rsid w:val="0013318B"/>
    <w:rsid w:val="00164509"/>
    <w:rsid w:val="00246784"/>
    <w:rsid w:val="002B040A"/>
    <w:rsid w:val="002C2590"/>
    <w:rsid w:val="003702D8"/>
    <w:rsid w:val="003C2483"/>
    <w:rsid w:val="00490A42"/>
    <w:rsid w:val="004A60EA"/>
    <w:rsid w:val="004C7A3F"/>
    <w:rsid w:val="00512182"/>
    <w:rsid w:val="00596247"/>
    <w:rsid w:val="005E42FC"/>
    <w:rsid w:val="005F4F4D"/>
    <w:rsid w:val="00787213"/>
    <w:rsid w:val="007B61BD"/>
    <w:rsid w:val="007C3DC4"/>
    <w:rsid w:val="008955CC"/>
    <w:rsid w:val="008D0E18"/>
    <w:rsid w:val="008F087B"/>
    <w:rsid w:val="00922E79"/>
    <w:rsid w:val="0092653C"/>
    <w:rsid w:val="0095386B"/>
    <w:rsid w:val="009921B4"/>
    <w:rsid w:val="00A232CB"/>
    <w:rsid w:val="00AD647B"/>
    <w:rsid w:val="00B160C5"/>
    <w:rsid w:val="00B17353"/>
    <w:rsid w:val="00B80AA3"/>
    <w:rsid w:val="00BC3F5F"/>
    <w:rsid w:val="00CB561D"/>
    <w:rsid w:val="00CE3B13"/>
    <w:rsid w:val="00D51DB0"/>
    <w:rsid w:val="00D53C33"/>
    <w:rsid w:val="00D856A9"/>
    <w:rsid w:val="00DB43F9"/>
    <w:rsid w:val="00E00D47"/>
    <w:rsid w:val="00EA1CE5"/>
    <w:rsid w:val="00ED6684"/>
    <w:rsid w:val="00F62410"/>
    <w:rsid w:val="00FD4DA7"/>
    <w:rsid w:val="00FD6208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F3EB7"/>
  <w15:chartTrackingRefBased/>
  <w15:docId w15:val="{77338DF6-27BE-4324-8A6F-E5F1D8C88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0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3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F5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56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61D"/>
  </w:style>
  <w:style w:type="paragraph" w:styleId="Footer">
    <w:name w:val="footer"/>
    <w:basedOn w:val="Normal"/>
    <w:link w:val="FooterChar"/>
    <w:uiPriority w:val="99"/>
    <w:unhideWhenUsed/>
    <w:rsid w:val="00CB56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61D"/>
  </w:style>
  <w:style w:type="paragraph" w:styleId="ListParagraph">
    <w:name w:val="List Paragraph"/>
    <w:basedOn w:val="Normal"/>
    <w:uiPriority w:val="34"/>
    <w:qFormat/>
    <w:rsid w:val="004C7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4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Wilkinson</dc:creator>
  <cp:keywords/>
  <dc:description/>
  <cp:lastModifiedBy>Helen Fernyhough</cp:lastModifiedBy>
  <cp:revision>3</cp:revision>
  <cp:lastPrinted>2021-10-04T15:56:00Z</cp:lastPrinted>
  <dcterms:created xsi:type="dcterms:W3CDTF">2023-11-02T11:23:00Z</dcterms:created>
  <dcterms:modified xsi:type="dcterms:W3CDTF">2023-11-02T11:24:00Z</dcterms:modified>
</cp:coreProperties>
</file>