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D9" w:rsidRDefault="00106AF2">
      <w:bookmarkStart w:id="0" w:name="_GoBack"/>
      <w:bookmarkEnd w:id="0"/>
      <w:r>
        <w:t>Catch up premium Allocation 2020-21 and additional COVID connected expenditure:</w:t>
      </w:r>
    </w:p>
    <w:p w:rsidR="00106AF2" w:rsidRDefault="00106AF2"/>
    <w:p w:rsidR="00106AF2" w:rsidRPr="00F76612" w:rsidRDefault="00106AF2">
      <w:pPr>
        <w:rPr>
          <w:b/>
        </w:rPr>
      </w:pPr>
      <w:r w:rsidRPr="00F76612">
        <w:rPr>
          <w:b/>
        </w:rPr>
        <w:t xml:space="preserve">Catch up Provisional allocation </w:t>
      </w:r>
      <w:r w:rsidR="00E44C95" w:rsidRPr="00F76612">
        <w:rPr>
          <w:b/>
        </w:rPr>
        <w:t xml:space="preserve">income </w:t>
      </w:r>
      <w:r w:rsidRPr="00F76612">
        <w:rPr>
          <w:b/>
        </w:rPr>
        <w:t>–</w:t>
      </w:r>
      <w:r w:rsidR="00E44C95" w:rsidRPr="00F76612">
        <w:rPr>
          <w:b/>
        </w:rPr>
        <w:t xml:space="preserve"> </w:t>
      </w:r>
      <w:r w:rsidRPr="00F76612">
        <w:rPr>
          <w:b/>
        </w:rPr>
        <w:tab/>
        <w:t>£25,440</w:t>
      </w:r>
    </w:p>
    <w:p w:rsidR="00106AF2" w:rsidRDefault="00106AF2">
      <w:r>
        <w:t>Received –</w:t>
      </w:r>
      <w:r>
        <w:tab/>
      </w:r>
      <w:r>
        <w:tab/>
      </w:r>
      <w:r>
        <w:tab/>
      </w:r>
      <w:r>
        <w:tab/>
      </w:r>
      <w:r>
        <w:tab/>
      </w:r>
      <w:r w:rsidRPr="00106AF2">
        <w:rPr>
          <w:color w:val="FF0000"/>
        </w:rPr>
        <w:t>-£6360</w:t>
      </w:r>
    </w:p>
    <w:p w:rsidR="00106AF2" w:rsidRDefault="00106AF2">
      <w:r>
        <w:t xml:space="preserve">Remaining </w:t>
      </w:r>
      <w:r w:rsidR="00E44C95">
        <w:t xml:space="preserve">income </w:t>
      </w:r>
      <w:r>
        <w:t xml:space="preserve">– </w:t>
      </w:r>
      <w:r>
        <w:tab/>
      </w:r>
      <w:r>
        <w:tab/>
      </w:r>
      <w:r>
        <w:tab/>
      </w:r>
      <w:r>
        <w:tab/>
        <w:t>£19,080</w:t>
      </w:r>
    </w:p>
    <w:p w:rsidR="00106AF2" w:rsidRDefault="00106AF2"/>
    <w:p w:rsidR="00106AF2" w:rsidRDefault="00106AF2">
      <w:r>
        <w:t>Expenditure –</w:t>
      </w:r>
    </w:p>
    <w:p w:rsidR="00106AF2" w:rsidRDefault="00106AF2">
      <w:r>
        <w:t>White Rose online maths</w:t>
      </w:r>
      <w:r>
        <w:tab/>
      </w:r>
      <w:r>
        <w:tab/>
      </w:r>
      <w:r>
        <w:tab/>
      </w:r>
      <w:r w:rsidRPr="00F76612">
        <w:rPr>
          <w:color w:val="FF0000"/>
        </w:rPr>
        <w:t>-£99</w:t>
      </w:r>
    </w:p>
    <w:p w:rsidR="00106AF2" w:rsidRDefault="00106AF2">
      <w:r>
        <w:t>Rising stars online reading</w:t>
      </w:r>
      <w:r>
        <w:tab/>
      </w:r>
      <w:r>
        <w:tab/>
      </w:r>
      <w:r>
        <w:tab/>
      </w:r>
      <w:r w:rsidRPr="00F76612">
        <w:rPr>
          <w:color w:val="FF0000"/>
        </w:rPr>
        <w:t>-£550</w:t>
      </w:r>
    </w:p>
    <w:p w:rsidR="00106AF2" w:rsidRDefault="00106AF2">
      <w:r>
        <w:t>Seesaw enhanced online platform</w:t>
      </w:r>
      <w:r>
        <w:tab/>
      </w:r>
      <w:r>
        <w:tab/>
      </w:r>
      <w:r w:rsidRPr="00F76612">
        <w:rPr>
          <w:color w:val="FF0000"/>
        </w:rPr>
        <w:t>-</w:t>
      </w:r>
      <w:r w:rsidR="00F76612">
        <w:rPr>
          <w:color w:val="FF0000"/>
        </w:rPr>
        <w:t>£2,340</w:t>
      </w:r>
    </w:p>
    <w:p w:rsidR="00106AF2" w:rsidRDefault="00106AF2">
      <w:r w:rsidRPr="00F76612">
        <w:rPr>
          <w:b/>
        </w:rPr>
        <w:t>Total:</w:t>
      </w:r>
      <w:r w:rsidRPr="00F76612">
        <w:rPr>
          <w:b/>
        </w:rPr>
        <w:tab/>
      </w:r>
      <w:r>
        <w:tab/>
      </w:r>
      <w:r>
        <w:tab/>
      </w:r>
      <w:r>
        <w:tab/>
      </w:r>
      <w:r>
        <w:tab/>
      </w:r>
      <w:r>
        <w:tab/>
      </w:r>
      <w:r w:rsidRPr="00F76612">
        <w:rPr>
          <w:b/>
          <w:color w:val="FF0000"/>
        </w:rPr>
        <w:t>-£2,989</w:t>
      </w:r>
    </w:p>
    <w:p w:rsidR="00106AF2" w:rsidRDefault="00106AF2"/>
    <w:p w:rsidR="00106AF2" w:rsidRDefault="00106AF2">
      <w:r>
        <w:t xml:space="preserve">Planned expenditure – </w:t>
      </w:r>
      <w:r>
        <w:tab/>
      </w:r>
    </w:p>
    <w:p w:rsidR="00106AF2" w:rsidRPr="00F76612" w:rsidRDefault="00106AF2">
      <w:pPr>
        <w:rPr>
          <w:color w:val="FF0000"/>
        </w:rPr>
      </w:pPr>
      <w:r>
        <w:t xml:space="preserve">Learning resources </w:t>
      </w:r>
      <w:r>
        <w:tab/>
      </w:r>
      <w:r>
        <w:tab/>
      </w:r>
      <w:r>
        <w:tab/>
      </w:r>
      <w:r>
        <w:tab/>
      </w:r>
      <w:r w:rsidRPr="00F76612">
        <w:rPr>
          <w:color w:val="FF0000"/>
        </w:rPr>
        <w:t>-£6,000</w:t>
      </w:r>
    </w:p>
    <w:p w:rsidR="00106AF2" w:rsidRDefault="00106AF2">
      <w:r>
        <w:t xml:space="preserve">Additional technology </w:t>
      </w:r>
      <w:r>
        <w:tab/>
      </w:r>
      <w:r>
        <w:tab/>
      </w:r>
      <w:r>
        <w:tab/>
      </w:r>
      <w:r>
        <w:tab/>
      </w:r>
      <w:r w:rsidRPr="00F76612">
        <w:rPr>
          <w:color w:val="FF0000"/>
        </w:rPr>
        <w:t>-£20,000</w:t>
      </w:r>
    </w:p>
    <w:p w:rsidR="00106AF2" w:rsidRDefault="00106AF2">
      <w:r>
        <w:t>Targeted support, 1-1 or small group</w:t>
      </w:r>
      <w:r>
        <w:tab/>
      </w:r>
      <w:r>
        <w:tab/>
      </w:r>
      <w:r w:rsidRPr="00F76612">
        <w:rPr>
          <w:color w:val="FF0000"/>
        </w:rPr>
        <w:t>-£4,000</w:t>
      </w:r>
    </w:p>
    <w:p w:rsidR="00106AF2" w:rsidRDefault="00106AF2">
      <w:r>
        <w:t xml:space="preserve">Transition support play therapy </w:t>
      </w:r>
      <w:r>
        <w:tab/>
      </w:r>
      <w:r>
        <w:tab/>
      </w:r>
      <w:r>
        <w:tab/>
      </w:r>
      <w:r w:rsidRPr="00F76612">
        <w:rPr>
          <w:color w:val="FF0000"/>
        </w:rPr>
        <w:t>-£2,000</w:t>
      </w:r>
    </w:p>
    <w:p w:rsidR="00106AF2" w:rsidRDefault="00106AF2">
      <w:pPr>
        <w:rPr>
          <w:color w:val="FF0000"/>
        </w:rPr>
      </w:pPr>
      <w:r w:rsidRPr="00F76612">
        <w:rPr>
          <w:b/>
        </w:rPr>
        <w:t>Total:</w:t>
      </w:r>
      <w:r w:rsidRPr="00F76612">
        <w:rPr>
          <w:b/>
        </w:rPr>
        <w:tab/>
      </w:r>
      <w:r>
        <w:tab/>
      </w:r>
      <w:r>
        <w:tab/>
      </w:r>
      <w:r>
        <w:tab/>
      </w:r>
      <w:r>
        <w:tab/>
      </w:r>
      <w:r>
        <w:tab/>
      </w:r>
      <w:r w:rsidRPr="00F76612">
        <w:rPr>
          <w:b/>
          <w:color w:val="FF0000"/>
        </w:rPr>
        <w:t>-£32,000</w:t>
      </w:r>
    </w:p>
    <w:p w:rsidR="00106AF2" w:rsidRDefault="00106AF2">
      <w:r>
        <w:tab/>
      </w:r>
      <w:r>
        <w:tab/>
      </w:r>
      <w:r>
        <w:tab/>
      </w:r>
      <w:r>
        <w:tab/>
      </w:r>
      <w:r>
        <w:tab/>
      </w:r>
      <w:r>
        <w:tab/>
        <w:t>---------------</w:t>
      </w:r>
    </w:p>
    <w:p w:rsidR="00106AF2" w:rsidRPr="00F76612" w:rsidRDefault="00106AF2">
      <w:pPr>
        <w:rPr>
          <w:b/>
          <w:color w:val="FF0000"/>
        </w:rPr>
      </w:pPr>
      <w:r w:rsidRPr="00F76612">
        <w:rPr>
          <w:b/>
        </w:rPr>
        <w:t>Total anticipated expenditure on catch up</w:t>
      </w:r>
      <w:r w:rsidR="00F76612">
        <w:rPr>
          <w:b/>
        </w:rPr>
        <w:t xml:space="preserve"> </w:t>
      </w:r>
      <w:r w:rsidR="00F76612">
        <w:rPr>
          <w:b/>
          <w:color w:val="FF0000"/>
        </w:rPr>
        <w:t>-£34,989</w:t>
      </w:r>
    </w:p>
    <w:p w:rsidR="00106AF2" w:rsidRDefault="00106AF2">
      <w:pPr>
        <w:rPr>
          <w:b/>
        </w:rPr>
      </w:pPr>
      <w:r w:rsidRPr="00F76612">
        <w:rPr>
          <w:color w:val="auto"/>
        </w:rPr>
        <w:t>Additional COVID costs</w:t>
      </w:r>
      <w:r w:rsidRPr="00F76612">
        <w:rPr>
          <w:color w:val="auto"/>
        </w:rPr>
        <w:tab/>
      </w:r>
      <w:r>
        <w:rPr>
          <w:color w:val="FF0000"/>
        </w:rPr>
        <w:tab/>
      </w:r>
      <w:r>
        <w:rPr>
          <w:color w:val="FF0000"/>
        </w:rPr>
        <w:tab/>
      </w:r>
      <w:r w:rsidRPr="00F76612">
        <w:rPr>
          <w:b/>
          <w:color w:val="FF0000"/>
        </w:rPr>
        <w:t>-£8,395</w:t>
      </w:r>
      <w:r w:rsidRPr="00F76612">
        <w:rPr>
          <w:b/>
        </w:rPr>
        <w:tab/>
      </w:r>
    </w:p>
    <w:p w:rsidR="00F76612" w:rsidRDefault="00F76612">
      <w:pPr>
        <w:rPr>
          <w:b/>
          <w:color w:val="FF0000"/>
        </w:rPr>
      </w:pPr>
      <w:r>
        <w:rPr>
          <w:b/>
        </w:rPr>
        <w:t xml:space="preserve">Additional staff COVID costs  </w:t>
      </w:r>
      <w:r>
        <w:rPr>
          <w:b/>
        </w:rPr>
        <w:tab/>
      </w:r>
      <w:r>
        <w:rPr>
          <w:b/>
        </w:rPr>
        <w:tab/>
      </w:r>
      <w:r w:rsidRPr="00F76612">
        <w:rPr>
          <w:b/>
          <w:color w:val="FF0000"/>
        </w:rPr>
        <w:t>-£4,000</w:t>
      </w:r>
    </w:p>
    <w:p w:rsidR="00F76612" w:rsidRPr="00F76612" w:rsidRDefault="00F76612">
      <w:pPr>
        <w:rPr>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F76612">
        <w:rPr>
          <w:color w:val="auto"/>
        </w:rPr>
        <w:t>--------------</w:t>
      </w:r>
    </w:p>
    <w:p w:rsidR="00F76612" w:rsidRDefault="00F76612">
      <w:pPr>
        <w:rPr>
          <w:b/>
          <w:color w:val="FF0000"/>
        </w:rPr>
      </w:pPr>
      <w:r>
        <w:rPr>
          <w:b/>
          <w:color w:val="FF0000"/>
        </w:rPr>
        <w:t>Total COVID costs</w:t>
      </w:r>
      <w:r>
        <w:rPr>
          <w:b/>
          <w:color w:val="FF0000"/>
        </w:rPr>
        <w:tab/>
      </w:r>
      <w:r>
        <w:rPr>
          <w:b/>
          <w:color w:val="FF0000"/>
        </w:rPr>
        <w:tab/>
      </w:r>
      <w:r>
        <w:rPr>
          <w:b/>
          <w:color w:val="FF0000"/>
        </w:rPr>
        <w:tab/>
      </w:r>
      <w:r>
        <w:rPr>
          <w:b/>
          <w:color w:val="FF0000"/>
        </w:rPr>
        <w:tab/>
        <w:t>-£47,3849</w:t>
      </w:r>
    </w:p>
    <w:p w:rsidR="00F76612" w:rsidRDefault="00F76612">
      <w:pPr>
        <w:rPr>
          <w:b/>
          <w:color w:val="FF0000"/>
        </w:rPr>
      </w:pPr>
      <w:r>
        <w:rPr>
          <w:b/>
          <w:color w:val="FF0000"/>
        </w:rPr>
        <w:t>Short fall</w:t>
      </w:r>
      <w:r>
        <w:rPr>
          <w:b/>
          <w:color w:val="FF0000"/>
        </w:rPr>
        <w:tab/>
      </w:r>
      <w:r>
        <w:rPr>
          <w:b/>
          <w:color w:val="FF0000"/>
        </w:rPr>
        <w:tab/>
      </w:r>
      <w:r>
        <w:rPr>
          <w:b/>
          <w:color w:val="FF0000"/>
        </w:rPr>
        <w:tab/>
      </w:r>
      <w:r>
        <w:rPr>
          <w:b/>
          <w:color w:val="FF0000"/>
        </w:rPr>
        <w:tab/>
      </w:r>
      <w:r>
        <w:rPr>
          <w:b/>
          <w:color w:val="FF0000"/>
        </w:rPr>
        <w:tab/>
        <w:t>-£21,944</w:t>
      </w:r>
    </w:p>
    <w:p w:rsidR="005E6C45" w:rsidRDefault="005E6C45">
      <w:pPr>
        <w:rPr>
          <w:b/>
          <w:color w:val="FF0000"/>
        </w:rPr>
      </w:pPr>
    </w:p>
    <w:p w:rsidR="005E6C45" w:rsidRDefault="005E6C45" w:rsidP="005E6C45">
      <w:pPr>
        <w:shd w:val="clear" w:color="auto" w:fill="FFFFFF"/>
        <w:spacing w:after="75" w:line="240" w:lineRule="auto"/>
        <w:rPr>
          <w:rFonts w:eastAsia="Times New Roman" w:cs="Arial"/>
          <w:b/>
          <w:color w:val="0B0C0C"/>
          <w:sz w:val="29"/>
          <w:szCs w:val="29"/>
          <w:lang w:eastAsia="en-GB"/>
        </w:rPr>
      </w:pPr>
      <w:r>
        <w:rPr>
          <w:rFonts w:eastAsia="Times New Roman" w:cs="Arial"/>
          <w:b/>
          <w:color w:val="0B0C0C"/>
          <w:sz w:val="29"/>
          <w:szCs w:val="29"/>
          <w:lang w:eastAsia="en-GB"/>
        </w:rPr>
        <w:t>H</w:t>
      </w:r>
      <w:r w:rsidRPr="005E6C45">
        <w:rPr>
          <w:rFonts w:eastAsia="Times New Roman" w:cs="Arial"/>
          <w:b/>
          <w:color w:val="0B0C0C"/>
          <w:sz w:val="29"/>
          <w:szCs w:val="29"/>
          <w:lang w:eastAsia="en-GB"/>
        </w:rPr>
        <w:t xml:space="preserve">ow the effect of this expenditure on the educational attainment of those pupils at the school will be </w:t>
      </w:r>
      <w:proofErr w:type="gramStart"/>
      <w:r w:rsidRPr="005E6C45">
        <w:rPr>
          <w:rFonts w:eastAsia="Times New Roman" w:cs="Arial"/>
          <w:b/>
          <w:color w:val="0B0C0C"/>
          <w:sz w:val="29"/>
          <w:szCs w:val="29"/>
          <w:lang w:eastAsia="en-GB"/>
        </w:rPr>
        <w:t>assessed</w:t>
      </w:r>
      <w:r>
        <w:rPr>
          <w:rFonts w:eastAsia="Times New Roman" w:cs="Arial"/>
          <w:b/>
          <w:color w:val="0B0C0C"/>
          <w:sz w:val="29"/>
          <w:szCs w:val="29"/>
          <w:lang w:eastAsia="en-GB"/>
        </w:rPr>
        <w:t>:</w:t>
      </w:r>
      <w:proofErr w:type="gramEnd"/>
    </w:p>
    <w:p w:rsidR="005E6C45" w:rsidRDefault="005E6C45" w:rsidP="005E6C45">
      <w:pPr>
        <w:shd w:val="clear" w:color="auto" w:fill="FFFFFF"/>
        <w:spacing w:after="75" w:line="240" w:lineRule="auto"/>
        <w:rPr>
          <w:rFonts w:eastAsia="Times New Roman" w:cs="Arial"/>
          <w:b/>
          <w:color w:val="0B0C0C"/>
          <w:sz w:val="29"/>
          <w:szCs w:val="29"/>
          <w:lang w:eastAsia="en-GB"/>
        </w:rPr>
      </w:pPr>
    </w:p>
    <w:p w:rsidR="005E6C45" w:rsidRDefault="005E6C45" w:rsidP="005E6C45">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t>For pupil attainment, the school is using Teacher Assessment against the National Curriculum expectations for the year group in line with the expectations for the time of year.</w:t>
      </w:r>
    </w:p>
    <w:p w:rsidR="005E6C45" w:rsidRDefault="005E6C45" w:rsidP="005E6C45">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lastRenderedPageBreak/>
        <w:t>The children were assessed using teacher assessment in September when returning to school following the lockdown.</w:t>
      </w:r>
    </w:p>
    <w:p w:rsidR="005E6C45" w:rsidRDefault="005E6C45" w:rsidP="005E6C45">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t>This was tracked against their last formal assessment based on teacher assessments</w:t>
      </w:r>
      <w:r w:rsidR="007B681B">
        <w:rPr>
          <w:rFonts w:eastAsia="Times New Roman" w:cs="Arial"/>
          <w:color w:val="0B0C0C"/>
          <w:sz w:val="29"/>
          <w:szCs w:val="29"/>
          <w:lang w:eastAsia="en-GB"/>
        </w:rPr>
        <w:t xml:space="preserve"> in February 2020 to see the academic impact of Lockdown.</w:t>
      </w:r>
    </w:p>
    <w:p w:rsidR="005E6C45" w:rsidRPr="005E6C45" w:rsidRDefault="005E6C45" w:rsidP="005E6C45">
      <w:pPr>
        <w:shd w:val="clear" w:color="auto" w:fill="FFFFFF"/>
        <w:spacing w:after="75" w:line="240" w:lineRule="auto"/>
        <w:rPr>
          <w:rFonts w:eastAsia="Times New Roman" w:cs="Arial"/>
          <w:color w:val="0B0C0C"/>
          <w:sz w:val="29"/>
          <w:szCs w:val="29"/>
          <w:lang w:eastAsia="en-GB"/>
        </w:rPr>
      </w:pPr>
      <w:r>
        <w:rPr>
          <w:rFonts w:eastAsia="Times New Roman" w:cs="Arial"/>
          <w:color w:val="0B0C0C"/>
          <w:sz w:val="29"/>
          <w:szCs w:val="29"/>
          <w:lang w:eastAsia="en-GB"/>
        </w:rPr>
        <w:t xml:space="preserve">Teachers are continuously assessing children’s understanding, attainment </w:t>
      </w:r>
      <w:r w:rsidR="007B681B">
        <w:rPr>
          <w:rFonts w:eastAsia="Times New Roman" w:cs="Arial"/>
          <w:color w:val="0B0C0C"/>
          <w:sz w:val="29"/>
          <w:szCs w:val="29"/>
          <w:lang w:eastAsia="en-GB"/>
        </w:rPr>
        <w:t>and progress using our in-</w:t>
      </w:r>
      <w:r>
        <w:rPr>
          <w:rFonts w:eastAsia="Times New Roman" w:cs="Arial"/>
          <w:color w:val="0B0C0C"/>
          <w:sz w:val="29"/>
          <w:szCs w:val="29"/>
          <w:lang w:eastAsia="en-GB"/>
        </w:rPr>
        <w:t>house monitoring systems which involve elicitation and summative assessments.</w:t>
      </w:r>
    </w:p>
    <w:p w:rsidR="005E6C45" w:rsidRPr="005E6C45" w:rsidRDefault="005E6C45">
      <w:pPr>
        <w:rPr>
          <w:rFonts w:eastAsia="Times New Roman" w:cs="Arial"/>
          <w:color w:val="0B0C0C"/>
          <w:sz w:val="29"/>
          <w:szCs w:val="29"/>
          <w:lang w:eastAsia="en-GB"/>
        </w:rPr>
      </w:pPr>
    </w:p>
    <w:p w:rsidR="005E6C45" w:rsidRDefault="005E6C45">
      <w:pPr>
        <w:rPr>
          <w:rFonts w:eastAsia="Times New Roman" w:cs="Arial"/>
          <w:color w:val="0B0C0C"/>
          <w:sz w:val="29"/>
          <w:szCs w:val="29"/>
          <w:lang w:eastAsia="en-GB"/>
        </w:rPr>
      </w:pPr>
      <w:r w:rsidRPr="005E6C45">
        <w:rPr>
          <w:rFonts w:eastAsia="Times New Roman" w:cs="Arial"/>
          <w:color w:val="0B0C0C"/>
          <w:sz w:val="29"/>
          <w:szCs w:val="29"/>
          <w:lang w:eastAsia="en-GB"/>
        </w:rPr>
        <w:t>The outcomes for the pupils will show us how the catch up funding has effected educational attainment but it cannot be seen as a single cause for the effect of progress.  Quality first teaching, quality blended online learning and quality feedback to children is also crucial and no amount of funding without these elements which always occur would be successful standing alone.</w:t>
      </w:r>
    </w:p>
    <w:p w:rsidR="00D674CE" w:rsidRDefault="00D674CE">
      <w:pPr>
        <w:rPr>
          <w:rFonts w:eastAsia="Times New Roman" w:cs="Arial"/>
          <w:color w:val="0B0C0C"/>
          <w:sz w:val="29"/>
          <w:szCs w:val="29"/>
          <w:lang w:eastAsia="en-GB"/>
        </w:rPr>
      </w:pPr>
    </w:p>
    <w:p w:rsidR="00D674CE" w:rsidRDefault="00D674CE">
      <w:pPr>
        <w:rPr>
          <w:rFonts w:eastAsia="Times New Roman" w:cs="Arial"/>
          <w:color w:val="0B0C0C"/>
          <w:sz w:val="29"/>
          <w:szCs w:val="29"/>
          <w:lang w:eastAsia="en-GB"/>
        </w:rPr>
      </w:pPr>
      <w:r>
        <w:rPr>
          <w:rFonts w:eastAsia="Times New Roman" w:cs="Arial"/>
          <w:color w:val="0B0C0C"/>
          <w:sz w:val="29"/>
          <w:szCs w:val="29"/>
          <w:lang w:eastAsia="en-GB"/>
        </w:rPr>
        <w:t xml:space="preserve">The direction for The Grove School to promote as much progression and ‘catch up’ as possible for all children, is to make learning as fun and motivational as possible, </w:t>
      </w:r>
      <w:r w:rsidR="007B681B">
        <w:rPr>
          <w:rFonts w:eastAsia="Times New Roman" w:cs="Arial"/>
          <w:color w:val="0B0C0C"/>
          <w:sz w:val="29"/>
          <w:szCs w:val="29"/>
          <w:lang w:eastAsia="en-GB"/>
        </w:rPr>
        <w:t xml:space="preserve">to </w:t>
      </w:r>
      <w:r>
        <w:rPr>
          <w:rFonts w:eastAsia="Times New Roman" w:cs="Arial"/>
          <w:color w:val="0B0C0C"/>
          <w:sz w:val="29"/>
          <w:szCs w:val="29"/>
          <w:lang w:eastAsia="en-GB"/>
        </w:rPr>
        <w:t>ensure children feel safe and happy in school and to promote children’s self-confidence, resilience and stamina.</w:t>
      </w:r>
    </w:p>
    <w:p w:rsidR="00D674CE" w:rsidRDefault="00D674CE">
      <w:pPr>
        <w:rPr>
          <w:rFonts w:eastAsia="Times New Roman" w:cs="Arial"/>
          <w:color w:val="0B0C0C"/>
          <w:sz w:val="29"/>
          <w:szCs w:val="29"/>
          <w:lang w:eastAsia="en-GB"/>
        </w:rPr>
      </w:pPr>
    </w:p>
    <w:p w:rsidR="00D674CE" w:rsidRPr="005E6C45" w:rsidRDefault="00D674CE">
      <w:pPr>
        <w:rPr>
          <w:rFonts w:eastAsia="Times New Roman" w:cs="Arial"/>
          <w:color w:val="0B0C0C"/>
          <w:sz w:val="29"/>
          <w:szCs w:val="29"/>
          <w:lang w:eastAsia="en-GB"/>
        </w:rPr>
      </w:pPr>
      <w:r>
        <w:rPr>
          <w:rFonts w:eastAsia="Times New Roman" w:cs="Arial"/>
          <w:color w:val="0B0C0C"/>
          <w:sz w:val="29"/>
          <w:szCs w:val="29"/>
          <w:lang w:eastAsia="en-GB"/>
        </w:rPr>
        <w:t xml:space="preserve">Targeted action and intervention for 1-1 or small groups will be based on short-term interventions of approximately half a term, then reassessed for impact.  Children who can make rapid catch up progress will be targeted first with catch up premium so that the interventions have the biggest impact over the shortest time period.  Longer term interventions will be continued within the class setting as previously achieved </w:t>
      </w:r>
      <w:proofErr w:type="spellStart"/>
      <w:r>
        <w:rPr>
          <w:rFonts w:eastAsia="Times New Roman" w:cs="Arial"/>
          <w:color w:val="0B0C0C"/>
          <w:sz w:val="29"/>
          <w:szCs w:val="29"/>
          <w:lang w:eastAsia="en-GB"/>
        </w:rPr>
        <w:t>eg</w:t>
      </w:r>
      <w:proofErr w:type="spellEnd"/>
      <w:r>
        <w:rPr>
          <w:rFonts w:eastAsia="Times New Roman" w:cs="Arial"/>
          <w:color w:val="0B0C0C"/>
          <w:sz w:val="29"/>
          <w:szCs w:val="29"/>
          <w:lang w:eastAsia="en-GB"/>
        </w:rPr>
        <w:t xml:space="preserve"> SEN support using other funding available.  Children receiving Pupil Premium and /or Free School Meals will be </w:t>
      </w:r>
      <w:r w:rsidR="007B681B">
        <w:rPr>
          <w:rFonts w:eastAsia="Times New Roman" w:cs="Arial"/>
          <w:color w:val="0B0C0C"/>
          <w:sz w:val="29"/>
          <w:szCs w:val="29"/>
          <w:lang w:eastAsia="en-GB"/>
        </w:rPr>
        <w:t>audited</w:t>
      </w:r>
      <w:r>
        <w:rPr>
          <w:rFonts w:eastAsia="Times New Roman" w:cs="Arial"/>
          <w:color w:val="0B0C0C"/>
          <w:sz w:val="29"/>
          <w:szCs w:val="29"/>
          <w:lang w:eastAsia="en-GB"/>
        </w:rPr>
        <w:t xml:space="preserve"> on an individual basis to review the impact of Lockdown and the best and most supportive approach for catching up.  This may be pastoral and/</w:t>
      </w:r>
      <w:r w:rsidR="007B681B">
        <w:rPr>
          <w:rFonts w:eastAsia="Times New Roman" w:cs="Arial"/>
          <w:color w:val="0B0C0C"/>
          <w:sz w:val="29"/>
          <w:szCs w:val="29"/>
          <w:lang w:eastAsia="en-GB"/>
        </w:rPr>
        <w:t>or academic depending on the child’s needs.</w:t>
      </w:r>
    </w:p>
    <w:sectPr w:rsidR="00D674CE" w:rsidRPr="005E6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raxisCom-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F64A0"/>
    <w:multiLevelType w:val="multilevel"/>
    <w:tmpl w:val="5144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F2"/>
    <w:rsid w:val="00106AF2"/>
    <w:rsid w:val="005E6C45"/>
    <w:rsid w:val="007B681B"/>
    <w:rsid w:val="009876D9"/>
    <w:rsid w:val="00AF4A18"/>
    <w:rsid w:val="00D674CE"/>
    <w:rsid w:val="00E44C95"/>
    <w:rsid w:val="00F7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5AEBB-6313-4A08-8CC5-825BE1B5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PraxisCom-Regular"/>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Priest</dc:creator>
  <cp:keywords/>
  <dc:description/>
  <cp:lastModifiedBy>Sam Wilkinson</cp:lastModifiedBy>
  <cp:revision>2</cp:revision>
  <dcterms:created xsi:type="dcterms:W3CDTF">2021-05-11T12:50:00Z</dcterms:created>
  <dcterms:modified xsi:type="dcterms:W3CDTF">2021-05-11T12:50:00Z</dcterms:modified>
</cp:coreProperties>
</file>